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RAPORT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rtl w:val="0"/>
        </w:rPr>
        <w:t xml:space="preserve">Monitory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Cele ćwiczenia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firstLine="0"/>
        <w:jc w:val="left"/>
        <w:rPr/>
      </w:pPr>
      <w:r w:rsidDel="00000000" w:rsidR="00000000" w:rsidRPr="00000000">
        <w:rPr>
          <w:rtl w:val="0"/>
        </w:rPr>
        <w:t xml:space="preserve">Umiejętność identyfikowania monitorów.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firstLine="0"/>
        <w:jc w:val="left"/>
        <w:rPr/>
      </w:pPr>
      <w:r w:rsidDel="00000000" w:rsidR="00000000" w:rsidRPr="00000000">
        <w:rPr>
          <w:rtl w:val="0"/>
        </w:rPr>
        <w:t xml:space="preserve">Nabycie umiejętności kalibracji monitorów.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firstLine="0"/>
        <w:jc w:val="left"/>
        <w:rPr/>
      </w:pPr>
      <w:r w:rsidDel="00000000" w:rsidR="00000000" w:rsidRPr="00000000">
        <w:rPr>
          <w:rtl w:val="0"/>
        </w:rPr>
        <w:t xml:space="preserve">Poznanie zasad działania monitora.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firstLine="0"/>
        <w:jc w:val="left"/>
        <w:rPr/>
      </w:pPr>
      <w:r w:rsidDel="00000000" w:rsidR="00000000" w:rsidRPr="00000000">
        <w:rPr>
          <w:rtl w:val="0"/>
        </w:rPr>
        <w:t xml:space="preserve">Poznanie Okularów 3D VISION.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Opis wykonywanych czynności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firstLine="0"/>
        <w:jc w:val="left"/>
        <w:rPr/>
      </w:pPr>
      <w:r w:rsidDel="00000000" w:rsidR="00000000" w:rsidRPr="00000000">
        <w:rPr>
          <w:rtl w:val="0"/>
        </w:rPr>
        <w:t xml:space="preserve">Włączyłem komputer i zacząłem identyfikować Monitor: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firstLine="0"/>
        <w:jc w:val="left"/>
        <w:rPr/>
      </w:pPr>
      <w:r w:rsidDel="00000000" w:rsidR="00000000" w:rsidRPr="00000000">
        <w:rPr>
          <w:rtl w:val="0"/>
        </w:rPr>
        <w:t xml:space="preserve">Marka - Acer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firstLine="0"/>
        <w:jc w:val="left"/>
        <w:rPr/>
      </w:pPr>
      <w:r w:rsidDel="00000000" w:rsidR="00000000" w:rsidRPr="00000000">
        <w:rPr>
          <w:rtl w:val="0"/>
        </w:rPr>
        <w:t xml:space="preserve">Model - GN245HQ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firstLine="0"/>
        <w:jc w:val="left"/>
        <w:rPr/>
      </w:pPr>
      <w:r w:rsidDel="00000000" w:rsidR="00000000" w:rsidRPr="00000000">
        <w:rPr>
          <w:rtl w:val="0"/>
        </w:rPr>
        <w:t xml:space="preserve">Typ matrycy - TFT TN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firstLine="0"/>
        <w:jc w:val="left"/>
        <w:rPr/>
      </w:pPr>
      <w:r w:rsidDel="00000000" w:rsidR="00000000" w:rsidRPr="00000000">
        <w:rPr>
          <w:rtl w:val="0"/>
        </w:rPr>
        <w:t xml:space="preserve">Rozmiar - 575×420×195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firstLine="0"/>
        <w:jc w:val="left"/>
        <w:rPr/>
      </w:pPr>
      <w:r w:rsidDel="00000000" w:rsidR="00000000" w:rsidRPr="00000000">
        <w:rPr>
          <w:rtl w:val="0"/>
        </w:rPr>
        <w:t xml:space="preserve">Rozdzielczość - 1920x1080@120Hz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firstLine="0"/>
        <w:jc w:val="left"/>
        <w:rPr/>
      </w:pPr>
      <w:r w:rsidDel="00000000" w:rsidR="00000000" w:rsidRPr="00000000">
        <w:rPr>
          <w:rtl w:val="0"/>
        </w:rPr>
        <w:t xml:space="preserve">Kontrast statyczny / dynamiczny - 1200:1 / 100 000 000:1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firstLine="0"/>
        <w:jc w:val="left"/>
        <w:rPr>
          <w:vertAlign w:val="superscript"/>
        </w:rPr>
      </w:pPr>
      <w:r w:rsidDel="00000000" w:rsidR="00000000" w:rsidRPr="00000000">
        <w:rPr>
          <w:rtl w:val="0"/>
        </w:rPr>
        <w:t xml:space="preserve">Jasność - 300 cd/m</w:t>
      </w:r>
      <w:r w:rsidDel="00000000" w:rsidR="00000000" w:rsidRPr="00000000">
        <w:rPr>
          <w:vertAlign w:val="superscript"/>
          <w:rtl w:val="0"/>
        </w:rPr>
        <w:t xml:space="preserve">2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firstLine="0"/>
        <w:jc w:val="left"/>
        <w:rPr/>
      </w:pPr>
      <w:r w:rsidDel="00000000" w:rsidR="00000000" w:rsidRPr="00000000">
        <w:rPr>
          <w:rtl w:val="0"/>
        </w:rPr>
        <w:t xml:space="preserve">Czas reakcji matrycy - 2 ms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firstLine="0"/>
        <w:jc w:val="left"/>
        <w:rPr/>
      </w:pPr>
      <w:r w:rsidDel="00000000" w:rsidR="00000000" w:rsidRPr="00000000">
        <w:rPr>
          <w:rtl w:val="0"/>
        </w:rPr>
        <w:t xml:space="preserve">Wielkość plamki - 0.2715 mm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firstLine="0"/>
        <w:jc w:val="left"/>
        <w:rPr/>
      </w:pPr>
      <w:r w:rsidDel="00000000" w:rsidR="00000000" w:rsidRPr="00000000">
        <w:rPr>
          <w:rtl w:val="0"/>
        </w:rPr>
        <w:t xml:space="preserve">Kąt widzenia w pionie/poziomie - 160°/170°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firstLine="0"/>
        <w:jc w:val="left"/>
        <w:rPr/>
      </w:pPr>
      <w:r w:rsidDel="00000000" w:rsidR="00000000" w:rsidRPr="00000000">
        <w:rPr>
          <w:rtl w:val="0"/>
        </w:rPr>
        <w:t xml:space="preserve">Ilość wyświetlanych kolorów - 16,7 milionów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firstLine="0"/>
        <w:jc w:val="left"/>
        <w:rPr/>
      </w:pPr>
      <w:r w:rsidDel="00000000" w:rsidR="00000000" w:rsidRPr="00000000">
        <w:rPr>
          <w:rtl w:val="0"/>
        </w:rPr>
        <w:t xml:space="preserve">Wejścia/wyjścia -  BRAK / 1 x D-Sub, 1 x DVI-D, 1 x HDMI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firstLine="0"/>
        <w:jc w:val="left"/>
        <w:rPr/>
      </w:pPr>
      <w:r w:rsidDel="00000000" w:rsidR="00000000" w:rsidRPr="00000000">
        <w:rPr>
          <w:rtl w:val="0"/>
        </w:rPr>
        <w:t xml:space="preserve">Klasa energetyczna - brak informacji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firstLine="0"/>
        <w:jc w:val="left"/>
        <w:rPr/>
      </w:pPr>
      <w:r w:rsidDel="00000000" w:rsidR="00000000" w:rsidRPr="00000000">
        <w:rPr>
          <w:rtl w:val="0"/>
        </w:rPr>
        <w:t xml:space="preserve">Pobór mocy (tryb włączenia) - (biały ekran) 38,2 W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firstLine="0"/>
        <w:jc w:val="left"/>
        <w:rPr/>
      </w:pPr>
      <w:r w:rsidDel="00000000" w:rsidR="00000000" w:rsidRPr="00000000">
        <w:rPr>
          <w:rtl w:val="0"/>
        </w:rPr>
        <w:t xml:space="preserve">Roczne zużycie energii -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firstLine="294"/>
        <w:jc w:val="left"/>
        <w:rPr/>
      </w:pPr>
      <w:r w:rsidDel="00000000" w:rsidR="00000000" w:rsidRPr="00000000">
        <w:rPr>
          <w:rtl w:val="0"/>
        </w:rPr>
        <w:t xml:space="preserve">praca 24h/365dni - 334,392 kWh ok. 207,47 zł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firstLine="0"/>
        <w:jc w:val="left"/>
        <w:rPr/>
      </w:pPr>
      <w:r w:rsidDel="00000000" w:rsidR="00000000" w:rsidRPr="00000000">
        <w:rPr>
          <w:rtl w:val="0"/>
        </w:rPr>
        <w:tab/>
        <w:t xml:space="preserve">praca około 8 godzin dziennie - 111,58 kWh ok. 69,34 zł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firstLine="0"/>
        <w:jc w:val="left"/>
        <w:rPr/>
      </w:pPr>
      <w:r w:rsidDel="00000000" w:rsidR="00000000" w:rsidRPr="00000000">
        <w:rPr>
          <w:rtl w:val="0"/>
        </w:rPr>
        <w:t xml:space="preserve">Pobór mocy (tryb uśpienia) - 1,85 W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firstLine="0"/>
        <w:jc w:val="left"/>
        <w:rPr/>
      </w:pPr>
      <w:r w:rsidDel="00000000" w:rsidR="00000000" w:rsidRPr="00000000">
        <w:rPr>
          <w:rtl w:val="0"/>
        </w:rPr>
        <w:t xml:space="preserve">Normy i certyfikaty - Energy Star N(3D),  CE, TÜV GS, MPRII, ISO9241-307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firstLine="0"/>
        <w:jc w:val="left"/>
        <w:rPr/>
      </w:pPr>
      <w:r w:rsidDel="00000000" w:rsidR="00000000" w:rsidRPr="00000000">
        <w:rPr>
          <w:rtl w:val="0"/>
        </w:rPr>
        <w:t xml:space="preserve">Normy i certyfikaty</w:t>
      </w:r>
    </w:p>
    <w:p w:rsidR="00000000" w:rsidDel="00000000" w:rsidP="00000000" w:rsidRDefault="00000000" w:rsidRPr="00000000" w14:paraId="0000001F">
      <w:pPr>
        <w:spacing w:after="240" w:before="240" w:lineRule="auto"/>
        <w:ind w:right="1436.4566929133866"/>
        <w:rPr/>
      </w:pPr>
      <w:r w:rsidDel="00000000" w:rsidR="00000000" w:rsidRPr="00000000">
        <w:rPr>
          <w:rtl w:val="0"/>
        </w:rPr>
        <w:t xml:space="preserve">Znak „B”</w:t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5019675</wp:posOffset>
            </wp:positionH>
            <wp:positionV relativeFrom="paragraph">
              <wp:posOffset>323850</wp:posOffset>
            </wp:positionV>
            <wp:extent cx="990617" cy="990617"/>
            <wp:effectExtent b="0" l="0" r="0" t="0"/>
            <wp:wrapNone/>
            <wp:docPr id="10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90617" cy="99061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0">
      <w:pPr>
        <w:numPr>
          <w:ilvl w:val="0"/>
          <w:numId w:val="3"/>
        </w:numPr>
        <w:spacing w:after="0" w:before="240" w:lineRule="auto"/>
        <w:ind w:left="720" w:right="1436.4566929133866" w:hanging="360"/>
        <w:rPr/>
      </w:pPr>
      <w:r w:rsidDel="00000000" w:rsidR="00000000" w:rsidRPr="00000000">
        <w:rPr>
          <w:rtl w:val="0"/>
        </w:rPr>
        <w:t xml:space="preserve">Przyznawany przez Polskie Centrum Badań i Certyfikacji.</w:t>
      </w:r>
    </w:p>
    <w:p w:rsidR="00000000" w:rsidDel="00000000" w:rsidP="00000000" w:rsidRDefault="00000000" w:rsidRPr="00000000" w14:paraId="00000021">
      <w:pPr>
        <w:numPr>
          <w:ilvl w:val="0"/>
          <w:numId w:val="3"/>
        </w:numPr>
        <w:spacing w:after="240" w:before="0" w:lineRule="auto"/>
        <w:ind w:left="720" w:right="1436.4566929133866" w:hanging="360"/>
        <w:rPr/>
      </w:pPr>
      <w:r w:rsidDel="00000000" w:rsidR="00000000" w:rsidRPr="00000000">
        <w:rPr>
          <w:rtl w:val="0"/>
        </w:rPr>
        <w:t xml:space="preserve">Oznacza, że produkt spełnia wymagania bezpieczeństwa, szczególnie dotyczące ochrony zdrowia i zapobiegania wypadkom.</w:t>
      </w:r>
    </w:p>
    <w:p w:rsidR="00000000" w:rsidDel="00000000" w:rsidP="00000000" w:rsidRDefault="00000000" w:rsidRPr="00000000" w14:paraId="00000022">
      <w:pPr>
        <w:spacing w:after="240" w:before="240" w:lineRule="auto"/>
        <w:ind w:right="1436.4566929133866"/>
        <w:rPr/>
      </w:pPr>
      <w:r w:rsidDel="00000000" w:rsidR="00000000" w:rsidRPr="00000000">
        <w:rPr>
          <w:rtl w:val="0"/>
        </w:rPr>
        <w:t xml:space="preserve">Znak „CE”</w:t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spacing w:after="240" w:before="240" w:lineRule="auto"/>
        <w:ind w:left="720" w:right="1436.4566929133866" w:hanging="360"/>
        <w:rPr/>
      </w:pPr>
      <w:r w:rsidDel="00000000" w:rsidR="00000000" w:rsidRPr="00000000">
        <w:rPr>
          <w:rtl w:val="0"/>
        </w:rPr>
        <w:t xml:space="preserve">Potwierdza zgodność produktu z normami bezpieczeństwa i ochrony zdrowa obowiązującymi w całej Unii Europejskiej.</w:t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5095875</wp:posOffset>
            </wp:positionH>
            <wp:positionV relativeFrom="paragraph">
              <wp:posOffset>247650</wp:posOffset>
            </wp:positionV>
            <wp:extent cx="914400" cy="914400"/>
            <wp:effectExtent b="0" l="0" r="0" t="0"/>
            <wp:wrapNone/>
            <wp:docPr id="11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4">
      <w:pPr>
        <w:spacing w:after="240" w:before="240" w:lineRule="auto"/>
        <w:ind w:right="1436.4566929133866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240" w:before="240" w:lineRule="auto"/>
        <w:ind w:right="1436.4566929133866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240" w:before="240" w:lineRule="auto"/>
        <w:ind w:right="1436.4566929133866"/>
        <w:rPr/>
      </w:pPr>
      <w:r w:rsidDel="00000000" w:rsidR="00000000" w:rsidRPr="00000000">
        <w:rPr>
          <w:rtl w:val="0"/>
        </w:rPr>
        <w:t xml:space="preserve">Znak „TÜV Rheinland”</w:t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4733925</wp:posOffset>
            </wp:positionH>
            <wp:positionV relativeFrom="paragraph">
              <wp:posOffset>114300</wp:posOffset>
            </wp:positionV>
            <wp:extent cx="762000" cy="762000"/>
            <wp:effectExtent b="0" l="0" r="0" t="0"/>
            <wp:wrapNone/>
            <wp:docPr id="12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7">
      <w:pPr>
        <w:numPr>
          <w:ilvl w:val="0"/>
          <w:numId w:val="9"/>
        </w:numPr>
        <w:spacing w:after="0" w:before="240" w:lineRule="auto"/>
        <w:ind w:left="720" w:right="1436.4566929133866" w:hanging="360"/>
        <w:rPr/>
      </w:pPr>
      <w:r w:rsidDel="00000000" w:rsidR="00000000" w:rsidRPr="00000000">
        <w:rPr>
          <w:rtl w:val="0"/>
        </w:rPr>
        <w:t xml:space="preserve">Oznacza, że produkt spełnia normy MPRII i ISO 9241/3.</w:t>
      </w:r>
    </w:p>
    <w:p w:rsidR="00000000" w:rsidDel="00000000" w:rsidP="00000000" w:rsidRDefault="00000000" w:rsidRPr="00000000" w14:paraId="00000028">
      <w:pPr>
        <w:numPr>
          <w:ilvl w:val="0"/>
          <w:numId w:val="9"/>
        </w:numPr>
        <w:spacing w:after="240" w:before="0" w:lineRule="auto"/>
        <w:ind w:left="720" w:right="1436.4566929133866" w:hanging="360"/>
        <w:rPr/>
      </w:pPr>
      <w:r w:rsidDel="00000000" w:rsidR="00000000" w:rsidRPr="00000000">
        <w:rPr>
          <w:rtl w:val="0"/>
        </w:rPr>
        <w:t xml:space="preserve">Określa dopuszczalne wartości emisji elektromagnetycznej.</w:t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4914900</wp:posOffset>
            </wp:positionH>
            <wp:positionV relativeFrom="paragraph">
              <wp:posOffset>415186</wp:posOffset>
            </wp:positionV>
            <wp:extent cx="761683" cy="761683"/>
            <wp:effectExtent b="0" l="0" r="0" t="0"/>
            <wp:wrapNone/>
            <wp:docPr id="13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61683" cy="76168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9">
      <w:pPr>
        <w:spacing w:after="240" w:before="240" w:lineRule="auto"/>
        <w:ind w:right="1436.4566929133866"/>
        <w:rPr/>
      </w:pPr>
      <w:r w:rsidDel="00000000" w:rsidR="00000000" w:rsidRPr="00000000">
        <w:rPr>
          <w:rtl w:val="0"/>
        </w:rPr>
        <w:t xml:space="preserve">Znak „GS”</w:t>
      </w:r>
    </w:p>
    <w:p w:rsidR="00000000" w:rsidDel="00000000" w:rsidP="00000000" w:rsidRDefault="00000000" w:rsidRPr="00000000" w14:paraId="0000002A">
      <w:pPr>
        <w:numPr>
          <w:ilvl w:val="0"/>
          <w:numId w:val="7"/>
        </w:numPr>
        <w:spacing w:after="0" w:before="240" w:lineRule="auto"/>
        <w:ind w:left="720" w:right="1436.4566929133866" w:hanging="360"/>
        <w:rPr/>
      </w:pPr>
      <w:r w:rsidDel="00000000" w:rsidR="00000000" w:rsidRPr="00000000">
        <w:rPr>
          <w:rtl w:val="0"/>
        </w:rPr>
        <w:t xml:space="preserve">Certyfikat szwedzkiej organizacji SWEDAC.</w:t>
      </w:r>
    </w:p>
    <w:p w:rsidR="00000000" w:rsidDel="00000000" w:rsidP="00000000" w:rsidRDefault="00000000" w:rsidRPr="00000000" w14:paraId="0000002B">
      <w:pPr>
        <w:numPr>
          <w:ilvl w:val="0"/>
          <w:numId w:val="7"/>
        </w:numPr>
        <w:spacing w:after="240" w:before="0" w:lineRule="auto"/>
        <w:ind w:left="720" w:right="1436.4566929133866" w:hanging="360"/>
        <w:rPr/>
      </w:pPr>
      <w:r w:rsidDel="00000000" w:rsidR="00000000" w:rsidRPr="00000000">
        <w:rPr>
          <w:rtl w:val="0"/>
        </w:rPr>
        <w:t xml:space="preserve">Potwierdza zgodność z niemieckimi normami bezpieczeństwa i ergonomii.</w:t>
      </w:r>
    </w:p>
    <w:p w:rsidR="00000000" w:rsidDel="00000000" w:rsidP="00000000" w:rsidRDefault="00000000" w:rsidRPr="00000000" w14:paraId="0000002C">
      <w:pPr>
        <w:spacing w:after="240" w:before="240" w:lineRule="auto"/>
        <w:ind w:right="1436.4566929133866"/>
        <w:rPr/>
      </w:pPr>
      <w:r w:rsidDel="00000000" w:rsidR="00000000" w:rsidRPr="00000000">
        <w:rPr>
          <w:rtl w:val="0"/>
        </w:rPr>
        <w:t xml:space="preserve">Znaki „TCO”</w:t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4838700</wp:posOffset>
            </wp:positionH>
            <wp:positionV relativeFrom="paragraph">
              <wp:posOffset>350211</wp:posOffset>
            </wp:positionV>
            <wp:extent cx="1428750" cy="1428750"/>
            <wp:effectExtent b="0" l="0" r="0" t="0"/>
            <wp:wrapNone/>
            <wp:docPr id="14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4287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D">
      <w:pPr>
        <w:numPr>
          <w:ilvl w:val="0"/>
          <w:numId w:val="5"/>
        </w:numPr>
        <w:spacing w:after="0" w:before="240" w:lineRule="auto"/>
        <w:ind w:left="720" w:right="1436.4566929133866" w:hanging="360"/>
        <w:rPr/>
      </w:pPr>
      <w:r w:rsidDel="00000000" w:rsidR="00000000" w:rsidRPr="00000000">
        <w:rPr>
          <w:rtl w:val="0"/>
        </w:rPr>
        <w:t xml:space="preserve">Popularne certyfikaty przyznawane przez szwedzką Konfederację Pracowników Umysłowych.</w:t>
      </w:r>
    </w:p>
    <w:p w:rsidR="00000000" w:rsidDel="00000000" w:rsidP="00000000" w:rsidRDefault="00000000" w:rsidRPr="00000000" w14:paraId="0000002E">
      <w:pPr>
        <w:numPr>
          <w:ilvl w:val="0"/>
          <w:numId w:val="5"/>
        </w:numPr>
        <w:spacing w:after="0" w:before="0" w:lineRule="auto"/>
        <w:ind w:left="720" w:right="1436.4566929133866" w:hanging="360"/>
        <w:rPr/>
      </w:pPr>
      <w:r w:rsidDel="00000000" w:rsidR="00000000" w:rsidRPr="00000000">
        <w:rPr>
          <w:rtl w:val="0"/>
        </w:rPr>
        <w:t xml:space="preserve">Gwarantują:</w:t>
      </w:r>
    </w:p>
    <w:p w:rsidR="00000000" w:rsidDel="00000000" w:rsidP="00000000" w:rsidRDefault="00000000" w:rsidRPr="00000000" w14:paraId="0000002F">
      <w:pPr>
        <w:numPr>
          <w:ilvl w:val="1"/>
          <w:numId w:val="5"/>
        </w:numPr>
        <w:spacing w:after="0" w:before="0" w:lineRule="auto"/>
        <w:ind w:left="1440" w:right="1436.4566929133866" w:hanging="360"/>
        <w:rPr/>
      </w:pPr>
      <w:r w:rsidDel="00000000" w:rsidR="00000000" w:rsidRPr="00000000">
        <w:rPr>
          <w:rtl w:val="0"/>
        </w:rPr>
        <w:t xml:space="preserve">Niski pobór mocy</w:t>
      </w:r>
    </w:p>
    <w:p w:rsidR="00000000" w:rsidDel="00000000" w:rsidP="00000000" w:rsidRDefault="00000000" w:rsidRPr="00000000" w14:paraId="00000030">
      <w:pPr>
        <w:numPr>
          <w:ilvl w:val="1"/>
          <w:numId w:val="5"/>
        </w:numPr>
        <w:spacing w:after="0" w:before="0" w:lineRule="auto"/>
        <w:ind w:left="1440" w:right="1436.4566929133866" w:hanging="360"/>
        <w:rPr/>
      </w:pPr>
      <w:r w:rsidDel="00000000" w:rsidR="00000000" w:rsidRPr="00000000">
        <w:rPr>
          <w:rtl w:val="0"/>
        </w:rPr>
        <w:t xml:space="preserve">Minimalne promieniowanie i emisję ciepła</w:t>
      </w:r>
    </w:p>
    <w:p w:rsidR="00000000" w:rsidDel="00000000" w:rsidP="00000000" w:rsidRDefault="00000000" w:rsidRPr="00000000" w14:paraId="00000031">
      <w:pPr>
        <w:numPr>
          <w:ilvl w:val="1"/>
          <w:numId w:val="5"/>
        </w:numPr>
        <w:spacing w:after="0" w:before="0" w:lineRule="auto"/>
        <w:ind w:left="1440" w:right="1436.4566929133866" w:hanging="360"/>
        <w:rPr/>
      </w:pPr>
      <w:r w:rsidDel="00000000" w:rsidR="00000000" w:rsidRPr="00000000">
        <w:rPr>
          <w:rtl w:val="0"/>
        </w:rPr>
        <w:t xml:space="preserve">Spełnienie norm ekologicznych</w:t>
      </w:r>
    </w:p>
    <w:p w:rsidR="00000000" w:rsidDel="00000000" w:rsidP="00000000" w:rsidRDefault="00000000" w:rsidRPr="00000000" w14:paraId="00000032">
      <w:pPr>
        <w:numPr>
          <w:ilvl w:val="1"/>
          <w:numId w:val="5"/>
        </w:numPr>
        <w:spacing w:after="0" w:before="0" w:lineRule="auto"/>
        <w:ind w:left="1440" w:right="1436.4566929133866" w:hanging="360"/>
        <w:rPr/>
      </w:pPr>
      <w:r w:rsidDel="00000000" w:rsidR="00000000" w:rsidRPr="00000000">
        <w:rPr>
          <w:rtl w:val="0"/>
        </w:rPr>
        <w:t xml:space="preserve">Zaawansowane zarządzanie energią</w:t>
      </w:r>
    </w:p>
    <w:p w:rsidR="00000000" w:rsidDel="00000000" w:rsidP="00000000" w:rsidRDefault="00000000" w:rsidRPr="00000000" w14:paraId="00000033">
      <w:pPr>
        <w:numPr>
          <w:ilvl w:val="1"/>
          <w:numId w:val="5"/>
        </w:numPr>
        <w:spacing w:after="240" w:before="0" w:lineRule="auto"/>
        <w:ind w:left="1440" w:right="1436.4566929133866" w:hanging="360"/>
        <w:rPr/>
      </w:pPr>
      <w:r w:rsidDel="00000000" w:rsidR="00000000" w:rsidRPr="00000000">
        <w:rPr>
          <w:rtl w:val="0"/>
        </w:rPr>
        <w:t xml:space="preserve">Dobrą jakość obrazu i odwzorowanie kolorów</w:t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4829175</wp:posOffset>
            </wp:positionH>
            <wp:positionV relativeFrom="paragraph">
              <wp:posOffset>390525</wp:posOffset>
            </wp:positionV>
            <wp:extent cx="1452146" cy="1343025"/>
            <wp:effectExtent b="0" l="0" r="0" t="0"/>
            <wp:wrapNone/>
            <wp:docPr id="15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52146" cy="13430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34">
      <w:pPr>
        <w:spacing w:after="240" w:before="240" w:lineRule="auto"/>
        <w:ind w:right="1436.4566929133866"/>
        <w:rPr/>
      </w:pPr>
      <w:r w:rsidDel="00000000" w:rsidR="00000000" w:rsidRPr="00000000">
        <w:rPr>
          <w:rtl w:val="0"/>
        </w:rPr>
        <w:t xml:space="preserve">Energy Star</w:t>
      </w:r>
    </w:p>
    <w:p w:rsidR="00000000" w:rsidDel="00000000" w:rsidP="00000000" w:rsidRDefault="00000000" w:rsidRPr="00000000" w14:paraId="00000035">
      <w:pPr>
        <w:numPr>
          <w:ilvl w:val="0"/>
          <w:numId w:val="4"/>
        </w:numPr>
        <w:spacing w:after="0" w:before="240" w:lineRule="auto"/>
        <w:ind w:left="720" w:right="1436.4566929133866" w:hanging="360"/>
        <w:rPr/>
      </w:pPr>
      <w:r w:rsidDel="00000000" w:rsidR="00000000" w:rsidRPr="00000000">
        <w:rPr>
          <w:rtl w:val="0"/>
        </w:rPr>
        <w:t xml:space="preserve">Międzynarodowy program promujący energooszczędne produkty.</w:t>
      </w:r>
    </w:p>
    <w:p w:rsidR="00000000" w:rsidDel="00000000" w:rsidP="00000000" w:rsidRDefault="00000000" w:rsidRPr="00000000" w14:paraId="00000036">
      <w:pPr>
        <w:numPr>
          <w:ilvl w:val="0"/>
          <w:numId w:val="4"/>
        </w:numPr>
        <w:spacing w:after="0" w:before="0" w:lineRule="auto"/>
        <w:ind w:left="720" w:right="1436.4566929133866" w:hanging="360"/>
        <w:rPr/>
      </w:pPr>
      <w:r w:rsidDel="00000000" w:rsidR="00000000" w:rsidRPr="00000000">
        <w:rPr>
          <w:rtl w:val="0"/>
        </w:rPr>
        <w:t xml:space="preserve">Ma na celu ograniczenie emisji gazów cieplarnianych.</w:t>
      </w:r>
    </w:p>
    <w:p w:rsidR="00000000" w:rsidDel="00000000" w:rsidP="00000000" w:rsidRDefault="00000000" w:rsidRPr="00000000" w14:paraId="00000037">
      <w:pPr>
        <w:numPr>
          <w:ilvl w:val="0"/>
          <w:numId w:val="4"/>
        </w:numPr>
        <w:spacing w:after="0" w:before="0" w:lineRule="auto"/>
        <w:ind w:left="720" w:right="1436.4566929133866" w:hanging="360"/>
        <w:rPr/>
      </w:pPr>
      <w:r w:rsidDel="00000000" w:rsidR="00000000" w:rsidRPr="00000000">
        <w:rPr>
          <w:rtl w:val="0"/>
        </w:rPr>
        <w:t xml:space="preserve">Powstał w 1992 r. z inicjatywy Amerykańskiej Agencji Ochrony Środowiska i Departamentu Energii USA.</w:t>
      </w:r>
    </w:p>
    <w:p w:rsidR="00000000" w:rsidDel="00000000" w:rsidP="00000000" w:rsidRDefault="00000000" w:rsidRPr="00000000" w14:paraId="00000038">
      <w:pPr>
        <w:numPr>
          <w:ilvl w:val="0"/>
          <w:numId w:val="4"/>
        </w:numPr>
        <w:spacing w:after="240" w:before="0" w:lineRule="auto"/>
        <w:ind w:left="720" w:right="1436.4566929133866" w:hanging="360"/>
        <w:rPr/>
      </w:pPr>
      <w:r w:rsidDel="00000000" w:rsidR="00000000" w:rsidRPr="00000000">
        <w:rPr>
          <w:rtl w:val="0"/>
        </w:rPr>
        <w:t xml:space="preserve">Od 2009 r. obowiązuje standard Energy Star 5.0.</w:t>
      </w:r>
    </w:p>
    <w:p w:rsidR="00000000" w:rsidDel="00000000" w:rsidP="00000000" w:rsidRDefault="00000000" w:rsidRPr="00000000" w14:paraId="00000039">
      <w:pPr>
        <w:spacing w:after="240" w:before="240" w:lineRule="auto"/>
        <w:ind w:right="1436.4566929133866"/>
        <w:rPr/>
      </w:pPr>
      <w:r w:rsidDel="00000000" w:rsidR="00000000" w:rsidRPr="00000000">
        <w:rPr>
          <w:rtl w:val="0"/>
        </w:rPr>
        <w:t xml:space="preserve">RoHS (Restriction of Hazardous Substances)</w:t>
      </w:r>
    </w:p>
    <w:p w:rsidR="00000000" w:rsidDel="00000000" w:rsidP="00000000" w:rsidRDefault="00000000" w:rsidRPr="00000000" w14:paraId="0000003A">
      <w:pPr>
        <w:numPr>
          <w:ilvl w:val="0"/>
          <w:numId w:val="8"/>
        </w:numPr>
        <w:spacing w:after="0" w:before="240" w:lineRule="auto"/>
        <w:ind w:left="720" w:right="1436.4566929133866" w:hanging="360"/>
        <w:rPr>
          <w:u w:val="none"/>
        </w:rPr>
      </w:pPr>
      <w:r w:rsidDel="00000000" w:rsidR="00000000" w:rsidRPr="00000000">
        <w:rPr>
          <w:rtl w:val="0"/>
        </w:rPr>
        <w:t xml:space="preserve">Unijna dyrektywa obowiązująca od 2006 r., ograniczająca stosowanie szkodliwych substancji w urządzeniach elektrycznych i elektronicznych.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4829175</wp:posOffset>
            </wp:positionH>
            <wp:positionV relativeFrom="paragraph">
              <wp:posOffset>175363</wp:posOffset>
            </wp:positionV>
            <wp:extent cx="1404219" cy="1343342"/>
            <wp:effectExtent b="0" l="0" r="0" t="0"/>
            <wp:wrapNone/>
            <wp:docPr id="16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04219" cy="134334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3B">
      <w:pPr>
        <w:numPr>
          <w:ilvl w:val="0"/>
          <w:numId w:val="8"/>
        </w:numPr>
        <w:spacing w:after="0" w:before="0" w:lineRule="auto"/>
        <w:ind w:left="720" w:right="1436.4566929133866" w:hanging="360"/>
        <w:rPr>
          <w:u w:val="none"/>
        </w:rPr>
      </w:pPr>
      <w:r w:rsidDel="00000000" w:rsidR="00000000" w:rsidRPr="00000000">
        <w:rPr>
          <w:rtl w:val="0"/>
        </w:rPr>
        <w:t xml:space="preserve">Zakazuje stosowania m.in.: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numPr>
          <w:ilvl w:val="1"/>
          <w:numId w:val="8"/>
        </w:numPr>
        <w:spacing w:after="0" w:before="0" w:lineRule="auto"/>
        <w:ind w:left="1440" w:right="1436.4566929133866" w:hanging="360"/>
        <w:rPr>
          <w:u w:val="none"/>
        </w:rPr>
      </w:pPr>
      <w:r w:rsidDel="00000000" w:rsidR="00000000" w:rsidRPr="00000000">
        <w:rPr>
          <w:rtl w:val="0"/>
        </w:rPr>
        <w:t xml:space="preserve">Ołowiu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numPr>
          <w:ilvl w:val="1"/>
          <w:numId w:val="8"/>
        </w:numPr>
        <w:spacing w:after="0" w:before="0" w:lineRule="auto"/>
        <w:ind w:left="1440" w:right="1436.4566929133866" w:hanging="360"/>
        <w:rPr>
          <w:u w:val="none"/>
        </w:rPr>
      </w:pPr>
      <w:r w:rsidDel="00000000" w:rsidR="00000000" w:rsidRPr="00000000">
        <w:rPr>
          <w:rtl w:val="0"/>
        </w:rPr>
        <w:t xml:space="preserve">Rtęci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numPr>
          <w:ilvl w:val="1"/>
          <w:numId w:val="8"/>
        </w:numPr>
        <w:spacing w:after="0" w:before="0" w:lineRule="auto"/>
        <w:ind w:left="1440" w:right="1436.4566929133866" w:hanging="360"/>
        <w:rPr>
          <w:u w:val="none"/>
        </w:rPr>
      </w:pPr>
      <w:r w:rsidDel="00000000" w:rsidR="00000000" w:rsidRPr="00000000">
        <w:rPr>
          <w:rtl w:val="0"/>
        </w:rPr>
        <w:t xml:space="preserve">Kadmu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numPr>
          <w:ilvl w:val="1"/>
          <w:numId w:val="8"/>
        </w:numPr>
        <w:spacing w:after="0" w:before="0" w:lineRule="auto"/>
        <w:ind w:left="1440" w:right="1436.4566929133866" w:hanging="360"/>
        <w:rPr>
          <w:u w:val="none"/>
        </w:rPr>
      </w:pPr>
      <w:r w:rsidDel="00000000" w:rsidR="00000000" w:rsidRPr="00000000">
        <w:rPr>
          <w:rtl w:val="0"/>
        </w:rPr>
        <w:t xml:space="preserve">Chromu sześciowartościowego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numPr>
          <w:ilvl w:val="1"/>
          <w:numId w:val="8"/>
        </w:numPr>
        <w:spacing w:after="0" w:before="0" w:lineRule="auto"/>
        <w:ind w:left="1440" w:right="1436.4566929133866" w:hanging="360"/>
        <w:rPr>
          <w:u w:val="none"/>
        </w:rPr>
      </w:pPr>
      <w:r w:rsidDel="00000000" w:rsidR="00000000" w:rsidRPr="00000000">
        <w:rPr>
          <w:rtl w:val="0"/>
        </w:rPr>
        <w:t xml:space="preserve">Polibromowanych bifenyli (PBB)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numPr>
          <w:ilvl w:val="1"/>
          <w:numId w:val="8"/>
        </w:numPr>
        <w:spacing w:after="240" w:before="0" w:lineRule="auto"/>
        <w:ind w:left="1440" w:right="1436.4566929133866" w:hanging="360"/>
        <w:rPr>
          <w:u w:val="none"/>
        </w:rPr>
      </w:pPr>
      <w:r w:rsidDel="00000000" w:rsidR="00000000" w:rsidRPr="00000000">
        <w:rPr>
          <w:rtl w:val="0"/>
        </w:rPr>
        <w:t xml:space="preserve">Polibromowanych eterów fenylowych (PBDE)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1436.4566929133866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1436.4566929133866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1436.4566929133866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1436.4566929133866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1436.4566929133866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1436.4566929133866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1436.4566929133866" w:firstLine="0"/>
        <w:jc w:val="left"/>
        <w:rPr/>
      </w:pPr>
      <w:r w:rsidDel="00000000" w:rsidR="00000000" w:rsidRPr="00000000">
        <w:rPr>
          <w:rtl w:val="0"/>
        </w:rPr>
        <w:t xml:space="preserve">Następny krok, testowanie okularów 3D.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1436.4566929133866" w:firstLine="0"/>
        <w:jc w:val="left"/>
        <w:rPr/>
      </w:pPr>
      <w:r w:rsidDel="00000000" w:rsidR="00000000" w:rsidRPr="00000000">
        <w:rPr>
          <w:rtl w:val="0"/>
        </w:rPr>
        <w:t xml:space="preserve">Okazało się, że mam ustawione 60 Hz odświeżania dla monitora więc szybko to zmieniłem na 120 Hz (wymagane jest minimum 100 Hz)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1436.4566929133866" w:firstLine="0"/>
        <w:jc w:val="left"/>
        <w:rPr/>
      </w:pPr>
      <w:r w:rsidDel="00000000" w:rsidR="00000000" w:rsidRPr="00000000">
        <w:rPr>
          <w:rtl w:val="0"/>
        </w:rPr>
        <w:t xml:space="preserve">Uruchamiam program NVIDIA Control Panel i włączyłem test z tymi ustawieniami ( według mnie najlepsze) </w:t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2457450</wp:posOffset>
            </wp:positionH>
            <wp:positionV relativeFrom="paragraph">
              <wp:posOffset>200025</wp:posOffset>
            </wp:positionV>
            <wp:extent cx="3819842" cy="2500539"/>
            <wp:effectExtent b="0" l="0" r="0" t="0"/>
            <wp:wrapNone/>
            <wp:docPr id="17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819842" cy="250053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1436.4566929133866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5121.496062992127" w:firstLine="0"/>
        <w:jc w:val="left"/>
        <w:rPr/>
      </w:pPr>
      <w:r w:rsidDel="00000000" w:rsidR="00000000" w:rsidRPr="00000000">
        <w:rPr>
          <w:rtl w:val="0"/>
        </w:rPr>
        <w:t xml:space="preserve">Dla osoby bez okularów obraz wydaje się rozmazany lecz okulary pod odpowiednim odświeżaniem redukują to. 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1436.4566929133866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1436.4566929133866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1436.4566929133866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1436.4566929133866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1436.4566929133866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1436.4566929133866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1436.4566929133866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1436.4566929133866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19.1338582677173" w:firstLine="0"/>
        <w:jc w:val="left"/>
        <w:rPr/>
      </w:pPr>
      <w:r w:rsidDel="00000000" w:rsidR="00000000" w:rsidRPr="00000000">
        <w:rPr>
          <w:rtl w:val="0"/>
        </w:rPr>
        <w:t xml:space="preserve">Kalibracja monitora.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19.1338582677173" w:firstLine="0"/>
        <w:jc w:val="left"/>
        <w:rPr/>
      </w:pPr>
      <w:r w:rsidDel="00000000" w:rsidR="00000000" w:rsidRPr="00000000">
        <w:rPr>
          <w:rtl w:val="0"/>
        </w:rPr>
        <w:t xml:space="preserve">Wykonuję tę czynność za pomocą urządzenia IL Studio X-RITE oraz programu i 1 studio</w:t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3305175</wp:posOffset>
            </wp:positionH>
            <wp:positionV relativeFrom="paragraph">
              <wp:posOffset>200025</wp:posOffset>
            </wp:positionV>
            <wp:extent cx="3219768" cy="4323363"/>
            <wp:effectExtent b="0" l="0" r="0" t="0"/>
            <wp:wrapNone/>
            <wp:docPr id="18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19768" cy="432336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19.1338582677173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after="0" w:lineRule="auto"/>
        <w:ind w:left="426" w:right="19.1338582677173" w:firstLine="0"/>
        <w:rPr/>
      </w:pPr>
      <w:r w:rsidDel="00000000" w:rsidR="00000000" w:rsidRPr="00000000">
        <w:rPr>
          <w:rtl w:val="0"/>
        </w:rPr>
        <w:t xml:space="preserve">O to jakie uzyskliśmy pokrycie kolorów</w:t>
      </w:r>
    </w:p>
    <w:p w:rsidR="00000000" w:rsidDel="00000000" w:rsidP="00000000" w:rsidRDefault="00000000" w:rsidRPr="00000000" w14:paraId="00000059">
      <w:pPr>
        <w:spacing w:after="0" w:lineRule="auto"/>
        <w:ind w:left="426" w:right="3845.905511811024" w:firstLine="0"/>
        <w:rPr/>
      </w:pPr>
      <w:r w:rsidDel="00000000" w:rsidR="00000000" w:rsidRPr="00000000">
        <w:rPr>
          <w:rtl w:val="0"/>
        </w:rPr>
        <w:t xml:space="preserve">Diagram chromatyczności CIE 1931 pokazuje zakres widzialnych kolorów, a czerwony punkt oznacza osiągnięty punkt bieli.</w:t>
      </w:r>
    </w:p>
    <w:p w:rsidR="00000000" w:rsidDel="00000000" w:rsidP="00000000" w:rsidRDefault="00000000" w:rsidRPr="00000000" w14:paraId="0000005A">
      <w:pPr>
        <w:spacing w:after="0" w:lineRule="auto"/>
        <w:ind w:left="426" w:right="3845.905511811024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after="0" w:lineRule="auto"/>
        <w:ind w:left="426" w:right="3845.905511811024" w:firstLine="0"/>
        <w:rPr/>
      </w:pPr>
      <w:r w:rsidDel="00000000" w:rsidR="00000000" w:rsidRPr="00000000">
        <w:rPr>
          <w:rtl w:val="0"/>
        </w:rPr>
        <w:t xml:space="preserve">Punkt bieli jest bardzo bliski standardowi D65, ale z minimalnym przesunięciem w stronę wyższej temperatury barwowej.</w:t>
      </w:r>
    </w:p>
    <w:p w:rsidR="00000000" w:rsidDel="00000000" w:rsidP="00000000" w:rsidRDefault="00000000" w:rsidRPr="00000000" w14:paraId="0000005C">
      <w:pPr>
        <w:spacing w:after="0" w:lineRule="auto"/>
        <w:ind w:left="426" w:right="3845.905511811024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after="0" w:lineRule="auto"/>
        <w:ind w:left="426" w:right="3845.905511811024" w:firstLine="0"/>
        <w:rPr/>
      </w:pPr>
      <w:r w:rsidDel="00000000" w:rsidR="00000000" w:rsidRPr="00000000">
        <w:rPr>
          <w:rtl w:val="0"/>
        </w:rPr>
        <w:t xml:space="preserve">Jasność ekranu wynosi 119 cd/m², co jest niemal identyczne z docelową wartością 120 cd/m², a czerń jest na poziomie 0,000 cd/m².</w:t>
      </w:r>
    </w:p>
    <w:p w:rsidR="00000000" w:rsidDel="00000000" w:rsidP="00000000" w:rsidRDefault="00000000" w:rsidRPr="00000000" w14:paraId="0000005E">
      <w:pPr>
        <w:spacing w:after="0" w:lineRule="auto"/>
        <w:ind w:left="426" w:right="3845.905511811024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after="0" w:lineRule="auto"/>
        <w:ind w:left="426" w:right="3845.905511811024" w:firstLine="0"/>
        <w:rPr/>
      </w:pPr>
      <w:r w:rsidDel="00000000" w:rsidR="00000000" w:rsidRPr="00000000">
        <w:rPr>
          <w:rtl w:val="0"/>
        </w:rPr>
        <w:t xml:space="preserve">Kontrast nie został podany, ale przy zerowej czerni może być bardzo wysoki.</w:t>
      </w:r>
    </w:p>
    <w:p w:rsidR="00000000" w:rsidDel="00000000" w:rsidP="00000000" w:rsidRDefault="00000000" w:rsidRPr="00000000" w14:paraId="00000060">
      <w:pPr>
        <w:spacing w:after="0" w:lineRule="auto"/>
        <w:ind w:left="426" w:right="3845.905511811024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after="0" w:lineRule="auto"/>
        <w:ind w:left="426" w:right="3845.905511811024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spacing w:after="0" w:lineRule="auto"/>
        <w:ind w:left="426" w:right="3845.905511811024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pacing w:after="0" w:lineRule="auto"/>
        <w:ind w:left="426" w:right="3845.905511811024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pacing w:after="0" w:lineRule="auto"/>
        <w:ind w:left="426" w:right="3845.905511811024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pacing w:after="0" w:lineRule="auto"/>
        <w:ind w:left="426" w:right="3845.905511811024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pacing w:after="0" w:lineRule="auto"/>
        <w:ind w:left="426" w:right="3845.905511811024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spacing w:after="0" w:lineRule="auto"/>
        <w:ind w:left="426" w:right="3845.905511811024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spacing w:after="0" w:lineRule="auto"/>
        <w:ind w:left="426" w:right="3845.905511811024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spacing w:after="0" w:lineRule="auto"/>
        <w:ind w:left="426" w:right="19.1338582677173" w:firstLine="0"/>
        <w:rPr/>
      </w:pPr>
      <w:r w:rsidDel="00000000" w:rsidR="00000000" w:rsidRPr="00000000">
        <w:rPr>
          <w:rtl w:val="0"/>
        </w:rPr>
        <w:t xml:space="preserve">Kalibracja monitorów oraz innych urządzeń ma na celu poprawić:</w:t>
      </w:r>
    </w:p>
    <w:p w:rsidR="00000000" w:rsidDel="00000000" w:rsidP="00000000" w:rsidRDefault="00000000" w:rsidRPr="00000000" w14:paraId="0000006A">
      <w:pPr>
        <w:spacing w:after="0" w:lineRule="auto"/>
        <w:ind w:left="426" w:right="19.1338582677173" w:firstLine="0"/>
        <w:rPr/>
      </w:pPr>
      <w:r w:rsidDel="00000000" w:rsidR="00000000" w:rsidRPr="00000000">
        <w:rPr>
          <w:rtl w:val="0"/>
        </w:rPr>
        <w:t xml:space="preserve">Dokładność kolorów – zapewnia, że kolory są zgodne ze standardami, takimi jak sRGB, AdobeRGB czy DCI-P3.</w:t>
      </w:r>
    </w:p>
    <w:p w:rsidR="00000000" w:rsidDel="00000000" w:rsidP="00000000" w:rsidRDefault="00000000" w:rsidRPr="00000000" w14:paraId="0000006B">
      <w:pPr>
        <w:spacing w:after="0" w:lineRule="auto"/>
        <w:ind w:left="426" w:right="19.1338582677173" w:firstLine="0"/>
        <w:rPr/>
      </w:pPr>
      <w:r w:rsidDel="00000000" w:rsidR="00000000" w:rsidRPr="00000000">
        <w:rPr>
          <w:rtl w:val="0"/>
        </w:rPr>
        <w:t xml:space="preserve">Prawidłowy punkt bieli – eliminuje zafarby i gwarantuje neutralną biel.</w:t>
      </w:r>
    </w:p>
    <w:p w:rsidR="00000000" w:rsidDel="00000000" w:rsidP="00000000" w:rsidRDefault="00000000" w:rsidRPr="00000000" w14:paraId="0000006C">
      <w:pPr>
        <w:spacing w:after="0" w:lineRule="auto"/>
        <w:ind w:left="426" w:right="19.1338582677173" w:firstLine="0"/>
        <w:rPr/>
      </w:pPr>
      <w:r w:rsidDel="00000000" w:rsidR="00000000" w:rsidRPr="00000000">
        <w:rPr>
          <w:rtl w:val="0"/>
        </w:rPr>
        <w:t xml:space="preserve">Odpowiednia jasność i kontrast – dostosowuje ekran do warunków oświetleniowych i poprawia widoczność detali.</w:t>
      </w:r>
    </w:p>
    <w:p w:rsidR="00000000" w:rsidDel="00000000" w:rsidP="00000000" w:rsidRDefault="00000000" w:rsidRPr="00000000" w14:paraId="0000006D">
      <w:pPr>
        <w:spacing w:after="0" w:lineRule="auto"/>
        <w:ind w:left="426" w:right="19.1338582677173" w:firstLine="0"/>
        <w:rPr/>
      </w:pPr>
      <w:r w:rsidDel="00000000" w:rsidR="00000000" w:rsidRPr="00000000">
        <w:rPr>
          <w:rtl w:val="0"/>
        </w:rPr>
        <w:t xml:space="preserve">Spójność między urządzeniami – umożliwia jednolite wyświetlanie obrazów na różnych ekranach, co jest istotne w fotografii, grafice i druku.</w:t>
      </w:r>
    </w:p>
    <w:p w:rsidR="00000000" w:rsidDel="00000000" w:rsidP="00000000" w:rsidRDefault="00000000" w:rsidRPr="00000000" w14:paraId="0000006E">
      <w:pPr>
        <w:spacing w:after="0" w:lineRule="auto"/>
        <w:ind w:left="426" w:right="19.1338582677173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spacing w:after="0" w:lineRule="auto"/>
        <w:ind w:left="426" w:right="19.1338582677173" w:firstLine="0"/>
        <w:rPr/>
      </w:pPr>
      <w:r w:rsidDel="00000000" w:rsidR="00000000" w:rsidRPr="00000000">
        <w:rPr>
          <w:rtl w:val="0"/>
        </w:rPr>
        <w:t xml:space="preserve">Sprawdzam czy są Bad Pixel-e na monitorze.</w:t>
      </w:r>
    </w:p>
    <w:p w:rsidR="00000000" w:rsidDel="00000000" w:rsidP="00000000" w:rsidRDefault="00000000" w:rsidRPr="00000000" w14:paraId="00000070">
      <w:pPr>
        <w:spacing w:after="0" w:lineRule="auto"/>
        <w:ind w:left="426" w:right="19.1338582677173" w:firstLine="0"/>
        <w:rPr/>
      </w:pPr>
      <w:r w:rsidDel="00000000" w:rsidR="00000000" w:rsidRPr="00000000">
        <w:rPr>
          <w:rtl w:val="0"/>
        </w:rPr>
        <w:t xml:space="preserve">Wynik jest ok, nie zobaczyłem żadnych bad pixeli’i </w:t>
      </w:r>
    </w:p>
    <w:p w:rsidR="00000000" w:rsidDel="00000000" w:rsidP="00000000" w:rsidRDefault="00000000" w:rsidRPr="00000000" w14:paraId="00000071">
      <w:pPr>
        <w:spacing w:after="0" w:lineRule="auto"/>
        <w:ind w:left="426" w:right="19.1338582677173" w:firstLine="0"/>
        <w:rPr/>
      </w:pPr>
      <w:r w:rsidDel="00000000" w:rsidR="00000000" w:rsidRPr="00000000">
        <w:rPr>
          <w:rtl w:val="0"/>
        </w:rPr>
        <w:t xml:space="preserve">Zgodnie z normą ISO 13406-2, monitor LCD klasy II może posiadać jednocześnie:</w:t>
      </w:r>
    </w:p>
    <w:p w:rsidR="00000000" w:rsidDel="00000000" w:rsidP="00000000" w:rsidRDefault="00000000" w:rsidRPr="00000000" w14:paraId="00000072">
      <w:pPr>
        <w:numPr>
          <w:ilvl w:val="0"/>
          <w:numId w:val="2"/>
        </w:numPr>
        <w:spacing w:after="0" w:lineRule="auto"/>
        <w:ind w:left="1440" w:right="19.1338582677173" w:hanging="360"/>
        <w:rPr>
          <w:u w:val="none"/>
        </w:rPr>
      </w:pPr>
      <w:r w:rsidDel="00000000" w:rsidR="00000000" w:rsidRPr="00000000">
        <w:rPr>
          <w:rtl w:val="0"/>
        </w:rPr>
        <w:t xml:space="preserve">2 martwe piksele (zawsze świecące) widoczne na ciemnym tle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numPr>
          <w:ilvl w:val="0"/>
          <w:numId w:val="2"/>
        </w:numPr>
        <w:spacing w:after="0" w:lineRule="auto"/>
        <w:ind w:left="1440" w:right="19.1338582677173" w:hanging="360"/>
        <w:rPr>
          <w:u w:val="none"/>
        </w:rPr>
      </w:pPr>
      <w:r w:rsidDel="00000000" w:rsidR="00000000" w:rsidRPr="00000000">
        <w:rPr>
          <w:rtl w:val="0"/>
        </w:rPr>
        <w:t xml:space="preserve">2 martwe piksele (zawsze nieświecące) widoczne na jasnym tle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numPr>
          <w:ilvl w:val="0"/>
          <w:numId w:val="2"/>
        </w:numPr>
        <w:spacing w:after="0" w:lineRule="auto"/>
        <w:ind w:left="1440" w:right="19.1338582677173" w:hanging="360"/>
        <w:rPr>
          <w:u w:val="none"/>
        </w:rPr>
      </w:pPr>
      <w:r w:rsidDel="00000000" w:rsidR="00000000" w:rsidRPr="00000000">
        <w:rPr>
          <w:rtl w:val="0"/>
        </w:rPr>
        <w:t xml:space="preserve">5 martwych subpikseli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spacing w:after="0" w:lineRule="auto"/>
        <w:ind w:left="426" w:right="19.1338582677173" w:firstLine="0"/>
        <w:rPr/>
      </w:pPr>
      <w:r w:rsidDel="00000000" w:rsidR="00000000" w:rsidRPr="00000000">
        <w:rPr>
          <w:rtl w:val="0"/>
        </w:rPr>
      </w:r>
    </w:p>
    <w:sectPr>
      <w:headerReference r:id="rId16" w:type="default"/>
      <w:footerReference r:id="rId17" w:type="default"/>
      <w:footerReference r:id="rId18" w:type="first"/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8">
    <w:pPr>
      <w:jc w:val="center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  <w:t xml:space="preserve">/</w:t>
    </w:r>
    <w:r w:rsidDel="00000000" w:rsidR="00000000" w:rsidRPr="00000000">
      <w:rPr/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9">
    <w:pPr>
      <w:jc w:val="center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  <w:t xml:space="preserve">/</w:t>
    </w:r>
    <w:r w:rsidDel="00000000" w:rsidR="00000000" w:rsidRPr="00000000">
      <w:rPr/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  <w:t xml:space="preserve">xxx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ab/>
      <w:tab/>
    </w:r>
    <w:r w:rsidDel="00000000" w:rsidR="00000000" w:rsidRPr="00000000">
      <w:rPr>
        <w:rtl w:val="0"/>
      </w:rPr>
      <w:t xml:space="preserve">02-03-2025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pict>
        <v:rect style="width:0.0pt;height:1.5pt" o:hr="t" o:hrstd="t" o:hralign="center" fillcolor="#A0A0A0" stroked="f"/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upperRoman"/>
      <w:lvlText w:val="%1."/>
      <w:lvlJc w:val="right"/>
      <w:pPr>
        <w:ind w:left="1440" w:hanging="360"/>
      </w:pPr>
      <w:rPr/>
    </w:lvl>
    <w:lvl w:ilvl="1">
      <w:start w:val="1"/>
      <w:numFmt w:val="bullet"/>
      <w:lvlText w:val="○"/>
      <w:lvlJc w:val="left"/>
      <w:pPr>
        <w:ind w:left="2160" w:hanging="360"/>
      </w:pPr>
      <w:rPr/>
    </w:lvl>
    <w:lvl w:ilvl="2">
      <w:start w:val="1"/>
      <w:numFmt w:val="lowerRoman"/>
      <w:lvlText w:val="%3."/>
      <w:lvlJc w:val="right"/>
      <w:pPr>
        <w:ind w:left="2880" w:hanging="180"/>
      </w:pPr>
      <w:rPr/>
    </w:lvl>
    <w:lvl w:ilvl="3">
      <w:start w:val="1"/>
      <w:numFmt w:val="decimal"/>
      <w:lvlText w:val="%4."/>
      <w:lvlJc w:val="left"/>
      <w:pPr>
        <w:ind w:left="3600" w:hanging="360"/>
      </w:pPr>
      <w:rPr/>
    </w:lvl>
    <w:lvl w:ilvl="4">
      <w:start w:val="1"/>
      <w:numFmt w:val="lowerLetter"/>
      <w:lvlText w:val="%5."/>
      <w:lvlJc w:val="left"/>
      <w:pPr>
        <w:ind w:left="4320" w:hanging="360"/>
      </w:pPr>
      <w:rPr/>
    </w:lvl>
    <w:lvl w:ilvl="5">
      <w:start w:val="1"/>
      <w:numFmt w:val="lowerRoman"/>
      <w:lvlText w:val="%6."/>
      <w:lvlJc w:val="right"/>
      <w:pPr>
        <w:ind w:left="5040" w:hanging="180"/>
      </w:pPr>
      <w:rPr/>
    </w:lvl>
    <w:lvl w:ilvl="6">
      <w:start w:val="1"/>
      <w:numFmt w:val="decimal"/>
      <w:lvlText w:val="%7."/>
      <w:lvlJc w:val="left"/>
      <w:pPr>
        <w:ind w:left="5760" w:hanging="360"/>
      </w:pPr>
      <w:rPr/>
    </w:lvl>
    <w:lvl w:ilvl="7">
      <w:start w:val="1"/>
      <w:numFmt w:val="lowerLetter"/>
      <w:lvlText w:val="%8."/>
      <w:lvlJc w:val="left"/>
      <w:pPr>
        <w:ind w:left="6480" w:hanging="360"/>
      </w:pPr>
      <w:rPr/>
    </w:lvl>
    <w:lvl w:ilvl="8">
      <w:start w:val="1"/>
      <w:numFmt w:val="lowerRoman"/>
      <w:lvlText w:val="%9."/>
      <w:lvlJc w:val="right"/>
      <w:pPr>
        <w:ind w:left="7200" w:hanging="180"/>
      </w:pPr>
      <w:rPr/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l-PL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ny" w:default="1">
    <w:name w:val="Normal"/>
    <w:qFormat w:val="1"/>
    <w:rsid w:val="00603E60"/>
  </w:style>
  <w:style w:type="character" w:styleId="Domylnaczcionkaakapitu" w:default="1">
    <w:name w:val="Default Paragraph Font"/>
    <w:uiPriority w:val="1"/>
    <w:semiHidden w:val="1"/>
    <w:unhideWhenUsed w:val="1"/>
  </w:style>
  <w:style w:type="table" w:styleId="Standardowy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listy" w:default="1">
    <w:name w:val="No List"/>
    <w:uiPriority w:val="99"/>
    <w:semiHidden w:val="1"/>
    <w:unhideWhenUsed w:val="1"/>
  </w:style>
  <w:style w:type="paragraph" w:styleId="Nagwek">
    <w:name w:val="header"/>
    <w:basedOn w:val="Normalny"/>
    <w:link w:val="NagwekZnak"/>
    <w:uiPriority w:val="99"/>
    <w:unhideWhenUsed w:val="1"/>
    <w:rsid w:val="009F5419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9F5419"/>
  </w:style>
  <w:style w:type="paragraph" w:styleId="Stopka">
    <w:name w:val="footer"/>
    <w:basedOn w:val="Normalny"/>
    <w:link w:val="StopkaZnak"/>
    <w:uiPriority w:val="99"/>
    <w:unhideWhenUsed w:val="1"/>
    <w:rsid w:val="009F5419"/>
    <w:pPr>
      <w:tabs>
        <w:tab w:val="center" w:pos="4536"/>
        <w:tab w:val="right" w:pos="9072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9F5419"/>
  </w:style>
  <w:style w:type="paragraph" w:styleId="Akapitzlist">
    <w:name w:val="List Paragraph"/>
    <w:basedOn w:val="Normalny"/>
    <w:uiPriority w:val="34"/>
    <w:qFormat w:val="1"/>
    <w:rsid w:val="009F5419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4.png"/><Relationship Id="rId10" Type="http://schemas.openxmlformats.org/officeDocument/2006/relationships/image" Target="media/image7.png"/><Relationship Id="rId13" Type="http://schemas.openxmlformats.org/officeDocument/2006/relationships/image" Target="media/image8.png"/><Relationship Id="rId12" Type="http://schemas.openxmlformats.org/officeDocument/2006/relationships/image" Target="media/image1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5.png"/><Relationship Id="rId15" Type="http://schemas.openxmlformats.org/officeDocument/2006/relationships/image" Target="media/image2.png"/><Relationship Id="rId14" Type="http://schemas.openxmlformats.org/officeDocument/2006/relationships/image" Target="media/image3.png"/><Relationship Id="rId17" Type="http://schemas.openxmlformats.org/officeDocument/2006/relationships/footer" Target="footer1.xml"/><Relationship Id="rId16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18" Type="http://schemas.openxmlformats.org/officeDocument/2006/relationships/footer" Target="footer2.xml"/><Relationship Id="rId7" Type="http://schemas.openxmlformats.org/officeDocument/2006/relationships/image" Target="media/image9.png"/><Relationship Id="rId8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Us4s1a+R85UuBnHF+GuVhnwn0gA==">CgMxLjA4AHIhMVVuczVTN2ZxNEFBcVhzUERlenY3eUcwemlEYm52WVhE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2020-09-23T05:38:00Z</dcterms:created>
  <dc:creator>kenaj</dc:creator>
</cp:coreProperties>
</file>